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color w:val="000000"/>
          <w:sz w:val="44"/>
          <w:szCs w:val="44"/>
          <w:highlight w:val="none"/>
          <w:lang w:val="en-US" w:eastAsia="zh-CN"/>
        </w:rPr>
        <w:t>统计局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霸州市统计局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（一）组织领导和协调全市统计工作，确保统计数据真实、准确、完整、及时。</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拟订统计工作地方性管理办法和统计改革方案，制定统计建设规划、统计调查计划、统计调查制度，指导和规范全市统计行政执法工作，监督检查统计法律、法规贯彻实施情况，组织实施统计法律法规宣传教育, 依法查处统计违法行为，开展防范和惩治统计造假弄虚作假统计督察。组织实施统计执法监督检查和“双随机”抽查，依法查处统计违法案件，预防和查处统计造假、弄虚作假，受理、办理、督办统计违法举报。</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贯彻执行国家和省国民经济核算制度，组织实施全市国民经济核算制度和民营经济统计制度。统一核算全市地区生产总值及派生产业增加值；组织实施投入产出调查和开发应用；编制全市资产负债表；组织实施全市民营经济统计工作；整理、测算和提供国民经济核算资料；监督管理全市国民经济核算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（四）拟订统计调查计划；组织实施全市人口、经济、农业等重大普查调查，汇总、整理和提供有关市情市力方面的统计数据。</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组织实施全市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（六）组织实施县域经济发展、农业产业化、特色小镇、节能降耗、绿色发展、企业景气、妇女儿童监测、新产业新业态新商业模式（以下简称新经济）、高质量发展等统计监测，收集、整理和提供统计数据。</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（七）综合整理和提供财政、金融、旅游、交通运输、邮政、地质勘查、教育、体育、卫生、社会保障、公用事业、对外经济、收入、价格等基本统计数据。</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（八）组织各乡镇和各部门的经济、社会、科技、服务业统计调查，统一核定、管理、公布全市性基本统计资料，定期发布全市国民经济和社会发展情况的统计信息，组织建立统计信息共享制度和发布制度。</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（九）对国民经济、社会发展、科技进步和资源环境等情况进行统计分析、统计预测和统计监督，向市委、市政府及有关部门提供统计信息和咨询建议。</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依法审批管理市本级政府部门统计调查项目；指导专业统计基础工作、统计基层基础业务建设；组织建立统计信息管理制度，建立健全统计数据质量审核、监控和评估制度，开展对统计数据质量的检查和评估。</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（十一）建立并管理全市统计信息化系统和统计数据库系统，组织制定全市统计数据库和网络的基本标准和运行规则，指导全市统计信息化系统建设。</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二）指导全市统计系统地方调查队业务工作、统计专业技术队伍建设；指导所属事业单位名录库建设、全面建成小康社会统计监测、社情民意调查、资料管理等工作；会同有关部门组织全市统计专业技术资格考试，组织专业技术职务聘任工作；监督管理全局的中央统计经费和省、市财政提供的专项经费。</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（十四）完成市委、市政府和上级统计部门交办的其他任务。</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left"/>
              <w:outlineLvl w:val="0"/>
              <w:rPr>
                <w:rFonts w:ascii="Times New Roman" w:hAnsi="Times New Roman" w:eastAsia="宋体" w:cs="Times New Roman"/>
                <w:szCs w:val="24"/>
              </w:rPr>
            </w:pPr>
          </w:p>
        </w:tc>
        <w:tc>
          <w:tcPr>
            <w:tcW w:w="1866" w:type="dxa"/>
            <w:vMerge w:val="continue"/>
            <w:vAlign w:val="center"/>
          </w:tcPr>
          <w:p>
            <w:pPr>
              <w:spacing w:line="300" w:lineRule="exact"/>
              <w:jc w:val="left"/>
              <w:outlineLvl w:val="0"/>
              <w:rPr>
                <w:rFonts w:ascii="Times New Roman" w:hAnsi="Times New Roman" w:eastAsia="宋体" w:cs="Times New Roman"/>
                <w:szCs w:val="24"/>
              </w:rPr>
            </w:pPr>
          </w:p>
        </w:tc>
        <w:tc>
          <w:tcPr>
            <w:tcW w:w="1536" w:type="dxa"/>
            <w:vMerge w:val="continue"/>
            <w:vAlign w:val="center"/>
          </w:tcPr>
          <w:p>
            <w:pPr>
              <w:spacing w:line="300" w:lineRule="exact"/>
              <w:jc w:val="left"/>
              <w:outlineLvl w:val="0"/>
              <w:rPr>
                <w:rFonts w:ascii="Times New Roman" w:hAnsi="Times New Roman" w:eastAsia="宋体" w:cs="Times New Roman"/>
                <w:szCs w:val="24"/>
              </w:rPr>
            </w:pPr>
          </w:p>
        </w:tc>
        <w:tc>
          <w:tcPr>
            <w:tcW w:w="2642" w:type="dxa"/>
            <w:vMerge w:val="continue"/>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霸州市统计局</w:t>
            </w:r>
          </w:p>
        </w:tc>
        <w:tc>
          <w:tcPr>
            <w:tcW w:w="1866"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行政</w:t>
            </w:r>
          </w:p>
        </w:tc>
        <w:tc>
          <w:tcPr>
            <w:tcW w:w="1536"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正科级</w:t>
            </w:r>
          </w:p>
        </w:tc>
        <w:tc>
          <w:tcPr>
            <w:tcW w:w="2642"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仿宋_GB2312"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因我部门除机关外，无其他下属预算单位，部门预算即为机关预算，不再单独公开机关预算和单位预算。）</w:t>
      </w:r>
      <w:bookmarkStart w:id="4" w:name="_GoBack"/>
      <w:bookmarkEnd w:id="4"/>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813.22</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813.22</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sz w:val="32"/>
          <w:szCs w:val="32"/>
          <w:lang w:val="en-US" w:eastAsia="zh-CN"/>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color w:val="000000"/>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val="en-US" w:eastAsia="zh-CN"/>
        </w:rPr>
        <w:t>统计局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年本部门支出预算</w:t>
      </w:r>
      <w:r>
        <w:rPr>
          <w:rFonts w:hint="eastAsia" w:ascii="仿宋_GB2312" w:hAnsi="Times New Roman" w:eastAsia="仿宋_GB2312" w:cs="Times New Roman"/>
          <w:color w:val="000000"/>
          <w:sz w:val="32"/>
          <w:szCs w:val="32"/>
          <w:lang w:val="en-US" w:eastAsia="zh-CN"/>
        </w:rPr>
        <w:t>813.22</w:t>
      </w:r>
      <w:r>
        <w:rPr>
          <w:rFonts w:hint="eastAsia" w:ascii="仿宋_GB2312" w:hAnsi="Times New Roman" w:eastAsia="仿宋_GB2312" w:cs="Times New Roman"/>
          <w:color w:val="000000"/>
          <w:sz w:val="32"/>
          <w:szCs w:val="32"/>
        </w:rPr>
        <w:t>万元，其中：基本支出</w:t>
      </w:r>
      <w:r>
        <w:rPr>
          <w:rFonts w:hint="eastAsia" w:ascii="仿宋_GB2312" w:hAnsi="Times New Roman" w:eastAsia="仿宋_GB2312" w:cs="Times New Roman"/>
          <w:color w:val="000000"/>
          <w:sz w:val="32"/>
          <w:szCs w:val="32"/>
          <w:lang w:val="en-US" w:eastAsia="zh-CN"/>
        </w:rPr>
        <w:t>722.22</w:t>
      </w:r>
      <w:r>
        <w:rPr>
          <w:rFonts w:hint="eastAsia" w:ascii="仿宋_GB2312" w:hAnsi="Times New Roman" w:eastAsia="仿宋_GB2312" w:cs="Times New Roman"/>
          <w:color w:val="000000"/>
          <w:sz w:val="32"/>
          <w:szCs w:val="32"/>
        </w:rPr>
        <w:t>万元，包括：人员</w:t>
      </w:r>
      <w:r>
        <w:rPr>
          <w:rFonts w:hint="eastAsia" w:ascii="仿宋_GB2312" w:hAnsi="Times New Roman" w:eastAsia="仿宋_GB2312" w:cs="Times New Roman"/>
          <w:color w:val="000000"/>
          <w:sz w:val="32"/>
          <w:szCs w:val="32"/>
          <w:lang w:val="en-US" w:eastAsia="zh-CN"/>
        </w:rPr>
        <w:t>类项目</w:t>
      </w:r>
      <w:r>
        <w:rPr>
          <w:rFonts w:hint="eastAsia" w:ascii="仿宋_GB2312" w:hAnsi="Times New Roman" w:eastAsia="仿宋_GB2312" w:cs="Times New Roman"/>
          <w:color w:val="000000"/>
          <w:sz w:val="32"/>
          <w:szCs w:val="32"/>
        </w:rPr>
        <w:t>经费</w:t>
      </w:r>
      <w:r>
        <w:rPr>
          <w:rFonts w:hint="eastAsia" w:ascii="仿宋_GB2312" w:hAnsi="Times New Roman" w:eastAsia="仿宋_GB2312" w:cs="Times New Roman"/>
          <w:color w:val="000000"/>
          <w:sz w:val="32"/>
          <w:szCs w:val="32"/>
          <w:lang w:val="en-US" w:eastAsia="zh-CN"/>
        </w:rPr>
        <w:t>640.35</w:t>
      </w:r>
      <w:r>
        <w:rPr>
          <w:rFonts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rPr>
        <w:t>和</w:t>
      </w:r>
      <w:r>
        <w:rPr>
          <w:rFonts w:hint="eastAsia" w:ascii="仿宋_GB2312" w:hAnsi="Times New Roman" w:eastAsia="仿宋_GB2312" w:cs="Times New Roman"/>
          <w:color w:val="000000"/>
          <w:sz w:val="32"/>
          <w:szCs w:val="32"/>
          <w:lang w:val="en-US" w:eastAsia="zh-CN"/>
        </w:rPr>
        <w:t>运转类</w:t>
      </w:r>
      <w:r>
        <w:rPr>
          <w:rFonts w:hint="eastAsia" w:ascii="仿宋_GB2312" w:hAnsi="Times New Roman" w:eastAsia="仿宋_GB2312" w:cs="Times New Roman"/>
          <w:color w:val="000000"/>
          <w:sz w:val="32"/>
          <w:szCs w:val="32"/>
        </w:rPr>
        <w:t>公用</w:t>
      </w:r>
      <w:r>
        <w:rPr>
          <w:rFonts w:hint="eastAsia" w:ascii="仿宋_GB2312" w:hAnsi="Times New Roman" w:eastAsia="仿宋_GB2312" w:cs="Times New Roman"/>
          <w:color w:val="000000"/>
          <w:sz w:val="32"/>
          <w:szCs w:val="32"/>
          <w:lang w:val="en-US" w:eastAsia="zh-CN"/>
        </w:rPr>
        <w:t>项目</w:t>
      </w:r>
      <w:r>
        <w:rPr>
          <w:rFonts w:hint="eastAsia" w:ascii="仿宋_GB2312" w:hAnsi="Times New Roman" w:eastAsia="仿宋_GB2312" w:cs="Times New Roman"/>
          <w:color w:val="000000"/>
          <w:sz w:val="32"/>
          <w:szCs w:val="32"/>
        </w:rPr>
        <w:t>经费</w:t>
      </w:r>
      <w:r>
        <w:rPr>
          <w:rFonts w:hint="eastAsia" w:ascii="仿宋_GB2312" w:hAnsi="Times New Roman" w:eastAsia="仿宋_GB2312" w:cs="Times New Roman"/>
          <w:color w:val="000000"/>
          <w:sz w:val="32"/>
          <w:szCs w:val="32"/>
          <w:lang w:val="en-US" w:eastAsia="zh-CN"/>
        </w:rPr>
        <w:t>81.87</w:t>
      </w:r>
      <w:r>
        <w:rPr>
          <w:rFonts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运转类其他及特定目标类</w:t>
      </w:r>
      <w:r>
        <w:rPr>
          <w:rFonts w:hint="eastAsia" w:ascii="仿宋_GB2312" w:hAnsi="Times New Roman" w:eastAsia="仿宋_GB2312" w:cs="Times New Roman"/>
          <w:color w:val="000000"/>
          <w:sz w:val="32"/>
          <w:szCs w:val="32"/>
        </w:rPr>
        <w:t>项目支出</w:t>
      </w:r>
      <w:r>
        <w:rPr>
          <w:rFonts w:hint="eastAsia" w:ascii="仿宋_GB2312" w:hAnsi="Times New Roman" w:eastAsia="仿宋_GB2312" w:cs="Times New Roman"/>
          <w:color w:val="000000"/>
          <w:sz w:val="32"/>
          <w:szCs w:val="32"/>
          <w:lang w:val="en-US" w:eastAsia="zh-CN"/>
        </w:rPr>
        <w:t>91</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sz w:val="32"/>
          <w:szCs w:val="32"/>
        </w:rPr>
        <w:t>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val="en-US" w:eastAsia="zh-CN"/>
        </w:rPr>
        <w:t>第七次全国人口普查经费</w:t>
      </w:r>
      <w:r>
        <w:rPr>
          <w:rFonts w:hint="eastAsia" w:ascii="仿宋_GB2312" w:hAnsi="Times New Roman" w:eastAsia="仿宋_GB2312" w:cs="Times New Roman"/>
          <w:sz w:val="32"/>
          <w:szCs w:val="32"/>
        </w:rPr>
        <w:t>；上缴上级支出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sz w:val="32"/>
          <w:szCs w:val="32"/>
          <w:highlight w:val="none"/>
        </w:rPr>
      </w:pP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年预算收支安排</w:t>
      </w:r>
      <w:r>
        <w:rPr>
          <w:rFonts w:hint="eastAsia" w:ascii="仿宋_GB2312" w:hAnsi="Times New Roman" w:eastAsia="仿宋_GB2312" w:cs="Times New Roman"/>
          <w:color w:val="000000"/>
          <w:sz w:val="32"/>
          <w:szCs w:val="32"/>
          <w:lang w:val="en-US" w:eastAsia="zh-CN"/>
        </w:rPr>
        <w:t>813.22</w:t>
      </w:r>
      <w:r>
        <w:rPr>
          <w:rFonts w:hint="eastAsia" w:ascii="仿宋_GB2312" w:hAnsi="Times New Roman" w:eastAsia="仿宋_GB2312" w:cs="Times New Roman"/>
          <w:color w:val="000000"/>
          <w:sz w:val="32"/>
          <w:szCs w:val="32"/>
        </w:rPr>
        <w:t>万元，较20</w:t>
      </w:r>
      <w:r>
        <w:rPr>
          <w:rFonts w:hint="eastAsia" w:ascii="仿宋_GB2312" w:hAnsi="Times New Roman" w:eastAsia="仿宋_GB2312" w:cs="Times New Roman"/>
          <w:color w:val="000000"/>
          <w:sz w:val="32"/>
          <w:szCs w:val="32"/>
          <w:lang w:val="en-US" w:eastAsia="zh-CN"/>
        </w:rPr>
        <w:t>20</w:t>
      </w:r>
      <w:r>
        <w:rPr>
          <w:rFonts w:hint="eastAsia" w:ascii="仿宋_GB2312" w:hAnsi="Times New Roman" w:eastAsia="仿宋_GB2312" w:cs="Times New Roman"/>
          <w:color w:val="000000"/>
          <w:sz w:val="32"/>
          <w:szCs w:val="32"/>
        </w:rPr>
        <w:t>预算</w:t>
      </w:r>
      <w:r>
        <w:rPr>
          <w:rFonts w:hint="eastAsia" w:ascii="仿宋_GB2312" w:hAnsi="Times New Roman" w:eastAsia="仿宋_GB2312" w:cs="Times New Roman"/>
          <w:color w:val="000000"/>
          <w:sz w:val="32"/>
          <w:szCs w:val="32"/>
          <w:highlight w:val="none"/>
        </w:rPr>
        <w:t>增加</w:t>
      </w:r>
      <w:r>
        <w:rPr>
          <w:rFonts w:hint="eastAsia" w:ascii="仿宋_GB2312" w:hAnsi="Times New Roman" w:eastAsia="仿宋_GB2312" w:cs="Times New Roman"/>
          <w:color w:val="000000"/>
          <w:sz w:val="32"/>
          <w:szCs w:val="32"/>
          <w:highlight w:val="none"/>
          <w:lang w:val="en-US" w:eastAsia="zh-CN"/>
        </w:rPr>
        <w:t>28.04</w:t>
      </w:r>
      <w:r>
        <w:rPr>
          <w:rFonts w:hint="eastAsia" w:ascii="仿宋_GB2312" w:hAnsi="Times New Roman" w:eastAsia="仿宋_GB2312" w:cs="Times New Roman"/>
          <w:color w:val="000000"/>
          <w:sz w:val="32"/>
          <w:szCs w:val="32"/>
          <w:highlight w:val="none"/>
        </w:rPr>
        <w:t>万元，其中：基本支出减少</w:t>
      </w:r>
      <w:r>
        <w:rPr>
          <w:rFonts w:hint="eastAsia" w:ascii="仿宋_GB2312" w:hAnsi="Times New Roman" w:eastAsia="仿宋_GB2312" w:cs="Times New Roman"/>
          <w:color w:val="000000"/>
          <w:sz w:val="32"/>
          <w:szCs w:val="32"/>
          <w:highlight w:val="none"/>
          <w:lang w:val="en-US" w:eastAsia="zh-CN"/>
        </w:rPr>
        <w:t>12.96</w:t>
      </w:r>
      <w:r>
        <w:rPr>
          <w:rFonts w:hint="eastAsia" w:ascii="仿宋_GB2312" w:hAnsi="Times New Roman" w:eastAsia="仿宋_GB2312" w:cs="Times New Roman"/>
          <w:color w:val="000000"/>
          <w:sz w:val="32"/>
          <w:szCs w:val="32"/>
          <w:highlight w:val="none"/>
        </w:rPr>
        <w:t>万元，主要为减少</w:t>
      </w:r>
      <w:r>
        <w:rPr>
          <w:rFonts w:hint="eastAsia" w:ascii="仿宋_GB2312" w:hAnsi="Times New Roman" w:eastAsia="仿宋_GB2312" w:cs="Times New Roman"/>
          <w:color w:val="000000"/>
          <w:sz w:val="32"/>
          <w:szCs w:val="32"/>
          <w:highlight w:val="none"/>
          <w:lang w:val="en-US" w:eastAsia="zh-CN"/>
        </w:rPr>
        <w:t>人员经费和日常公用经费</w:t>
      </w:r>
      <w:r>
        <w:rPr>
          <w:rFonts w:hint="eastAsia" w:ascii="仿宋_GB2312" w:hAnsi="Times New Roman" w:eastAsia="仿宋_GB2312" w:cs="Times New Roman"/>
          <w:color w:val="000000"/>
          <w:sz w:val="32"/>
          <w:szCs w:val="32"/>
          <w:highlight w:val="none"/>
        </w:rPr>
        <w:t>支出；项目支出增加</w:t>
      </w:r>
      <w:r>
        <w:rPr>
          <w:rFonts w:hint="eastAsia" w:ascii="仿宋_GB2312" w:hAnsi="Times New Roman" w:eastAsia="仿宋_GB2312" w:cs="Times New Roman"/>
          <w:color w:val="000000"/>
          <w:sz w:val="32"/>
          <w:szCs w:val="32"/>
          <w:highlight w:val="none"/>
          <w:lang w:val="en-US" w:eastAsia="zh-CN"/>
        </w:rPr>
        <w:t>41</w:t>
      </w:r>
      <w:r>
        <w:rPr>
          <w:rFonts w:hint="eastAsia" w:ascii="仿宋_GB2312" w:hAnsi="Times New Roman" w:eastAsia="仿宋_GB2312" w:cs="Times New Roman"/>
          <w:color w:val="000000"/>
          <w:sz w:val="32"/>
          <w:szCs w:val="32"/>
          <w:highlight w:val="none"/>
        </w:rPr>
        <w:t>万元，主要为增加</w:t>
      </w:r>
      <w:r>
        <w:rPr>
          <w:rFonts w:hint="eastAsia" w:ascii="仿宋_GB2312" w:hAnsi="Times New Roman" w:eastAsia="仿宋_GB2312" w:cs="Times New Roman"/>
          <w:color w:val="000000"/>
          <w:sz w:val="32"/>
          <w:szCs w:val="32"/>
          <w:highlight w:val="none"/>
          <w:lang w:val="en-US" w:eastAsia="zh-CN"/>
        </w:rPr>
        <w:t>非特定目标类</w:t>
      </w:r>
      <w:r>
        <w:rPr>
          <w:rFonts w:hint="eastAsia" w:ascii="仿宋_GB2312" w:hAnsi="Times New Roman" w:eastAsia="仿宋_GB2312" w:cs="Times New Roman"/>
          <w:color w:val="000000"/>
          <w:sz w:val="32"/>
          <w:szCs w:val="32"/>
          <w:highlight w:val="none"/>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2021年，我部门</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81.87</w:t>
      </w:r>
      <w:r>
        <w:rPr>
          <w:rFonts w:hint="eastAsia" w:ascii="仿宋_GB2312" w:hAnsi="Times New Roman" w:eastAsia="仿宋_GB2312" w:cs="Times New Roman"/>
          <w:sz w:val="32"/>
          <w:szCs w:val="32"/>
        </w:rPr>
        <w:t>万元，主要用于办公区的日常维修、办公用房水电费、办公用房取暖费、办公及印刷费，邮电费、差旅费、</w:t>
      </w:r>
      <w:r>
        <w:rPr>
          <w:rFonts w:hint="eastAsia" w:ascii="仿宋_GB2312" w:hAnsi="Times New Roman" w:eastAsia="仿宋_GB2312" w:cs="Times New Roman"/>
          <w:sz w:val="32"/>
          <w:szCs w:val="32"/>
          <w:lang w:val="en-US" w:eastAsia="zh-CN"/>
        </w:rPr>
        <w:t>公务接待费、培训费、</w:t>
      </w:r>
      <w:r>
        <w:rPr>
          <w:rFonts w:hint="eastAsia" w:ascii="仿宋_GB2312" w:hAnsi="Times New Roman" w:eastAsia="仿宋_GB2312" w:cs="Times New Roman"/>
          <w:sz w:val="32"/>
          <w:szCs w:val="32"/>
        </w:rPr>
        <w:t>福利费、</w:t>
      </w:r>
      <w:r>
        <w:rPr>
          <w:rFonts w:hint="eastAsia" w:ascii="仿宋_GB2312" w:hAnsi="Times New Roman" w:eastAsia="仿宋_GB2312" w:cs="Times New Roman"/>
          <w:sz w:val="32"/>
          <w:szCs w:val="32"/>
          <w:lang w:val="en-US" w:eastAsia="zh-CN"/>
        </w:rPr>
        <w:t>工会经费、其他交通费用、</w:t>
      </w:r>
      <w:r>
        <w:rPr>
          <w:rFonts w:hint="eastAsia" w:ascii="仿宋_GB2312" w:hAnsi="Times New Roman" w:eastAsia="仿宋_GB2312" w:cs="Times New Roman"/>
          <w:sz w:val="32"/>
          <w:szCs w:val="32"/>
        </w:rPr>
        <w:t>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b w:val="0"/>
          <w:bCs/>
          <w:color w:val="auto"/>
          <w:sz w:val="32"/>
          <w:szCs w:val="32"/>
          <w:highlight w:val="none"/>
          <w:lang w:eastAsia="zh-CN"/>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2.94</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2.50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2.50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0.44</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b w:val="0"/>
          <w:bCs/>
          <w:color w:val="auto"/>
          <w:sz w:val="32"/>
          <w:szCs w:val="32"/>
          <w:highlight w:val="none"/>
          <w:lang w:val="en-US" w:eastAsia="zh-CN"/>
        </w:rPr>
        <w:t>主要是因为</w:t>
      </w:r>
      <w:r>
        <w:rPr>
          <w:rFonts w:hint="eastAsia" w:ascii="仿宋_GB2312" w:hAnsi="Times New Roman" w:eastAsia="仿宋_GB2312" w:cs="Times New Roman"/>
          <w:b w:val="0"/>
          <w:bCs/>
          <w:color w:val="auto"/>
          <w:sz w:val="32"/>
          <w:szCs w:val="32"/>
          <w:highlight w:val="none"/>
        </w:rPr>
        <w:t>因公出国（境）费与</w:t>
      </w:r>
      <w:r>
        <w:rPr>
          <w:rFonts w:hint="eastAsia" w:ascii="仿宋_GB2312" w:hAnsi="Times New Roman" w:eastAsia="仿宋_GB2312" w:cs="Times New Roman"/>
          <w:b w:val="0"/>
          <w:bCs/>
          <w:color w:val="auto"/>
          <w:sz w:val="32"/>
          <w:szCs w:val="32"/>
          <w:highlight w:val="none"/>
          <w:lang w:val="en-US" w:eastAsia="zh-CN"/>
        </w:rPr>
        <w:t>2020</w:t>
      </w:r>
      <w:r>
        <w:rPr>
          <w:rFonts w:hint="eastAsia" w:ascii="仿宋_GB2312" w:hAnsi="Times New Roman" w:eastAsia="仿宋_GB2312" w:cs="Times New Roman"/>
          <w:b w:val="0"/>
          <w:bCs/>
          <w:color w:val="auto"/>
          <w:sz w:val="32"/>
          <w:szCs w:val="32"/>
          <w:highlight w:val="none"/>
        </w:rPr>
        <w:t>年持平，无增减变化；公务用车购置费与</w:t>
      </w:r>
      <w:r>
        <w:rPr>
          <w:rFonts w:hint="eastAsia" w:ascii="仿宋_GB2312" w:hAnsi="Times New Roman" w:eastAsia="仿宋_GB2312" w:cs="Times New Roman"/>
          <w:b w:val="0"/>
          <w:bCs/>
          <w:color w:val="auto"/>
          <w:sz w:val="32"/>
          <w:szCs w:val="32"/>
          <w:highlight w:val="none"/>
          <w:lang w:val="en-US" w:eastAsia="zh-CN"/>
        </w:rPr>
        <w:t>2020</w:t>
      </w:r>
      <w:r>
        <w:rPr>
          <w:rFonts w:hint="eastAsia" w:ascii="仿宋_GB2312" w:hAnsi="Times New Roman" w:eastAsia="仿宋_GB2312" w:cs="Times New Roman"/>
          <w:b w:val="0"/>
          <w:bCs/>
          <w:color w:val="auto"/>
          <w:sz w:val="32"/>
          <w:szCs w:val="32"/>
          <w:highlight w:val="none"/>
        </w:rPr>
        <w:t>年持平，无增减变化；公务用车运行维护费与</w:t>
      </w:r>
      <w:r>
        <w:rPr>
          <w:rFonts w:hint="eastAsia" w:ascii="仿宋_GB2312" w:hAnsi="Times New Roman" w:eastAsia="仿宋_GB2312" w:cs="Times New Roman"/>
          <w:b w:val="0"/>
          <w:bCs/>
          <w:color w:val="auto"/>
          <w:sz w:val="32"/>
          <w:szCs w:val="32"/>
          <w:highlight w:val="none"/>
          <w:lang w:val="en-US" w:eastAsia="zh-CN"/>
        </w:rPr>
        <w:t>2020</w:t>
      </w:r>
      <w:r>
        <w:rPr>
          <w:rFonts w:hint="eastAsia" w:ascii="仿宋_GB2312" w:hAnsi="Times New Roman" w:eastAsia="仿宋_GB2312" w:cs="Times New Roman"/>
          <w:b w:val="0"/>
          <w:bCs/>
          <w:color w:val="auto"/>
          <w:sz w:val="32"/>
          <w:szCs w:val="32"/>
          <w:highlight w:val="none"/>
        </w:rPr>
        <w:t>年持平，无增减变化；公务接待费与</w:t>
      </w:r>
      <w:r>
        <w:rPr>
          <w:rFonts w:hint="eastAsia" w:ascii="仿宋_GB2312" w:hAnsi="Times New Roman" w:eastAsia="仿宋_GB2312" w:cs="Times New Roman"/>
          <w:b w:val="0"/>
          <w:bCs/>
          <w:color w:val="auto"/>
          <w:sz w:val="32"/>
          <w:szCs w:val="32"/>
          <w:highlight w:val="none"/>
          <w:lang w:val="en-US" w:eastAsia="zh-CN"/>
        </w:rPr>
        <w:t>2020</w:t>
      </w:r>
      <w:r>
        <w:rPr>
          <w:rFonts w:hint="eastAsia" w:ascii="仿宋_GB2312" w:hAnsi="Times New Roman" w:eastAsia="仿宋_GB2312" w:cs="Times New Roman"/>
          <w:b w:val="0"/>
          <w:bCs/>
          <w:color w:val="auto"/>
          <w:sz w:val="32"/>
          <w:szCs w:val="32"/>
          <w:highlight w:val="none"/>
        </w:rPr>
        <w:t>年持平，无增减变化</w:t>
      </w:r>
      <w:r>
        <w:rPr>
          <w:rFonts w:hint="eastAsia" w:ascii="仿宋_GB2312" w:hAnsi="Times New Roman" w:eastAsia="仿宋_GB2312" w:cs="Times New Roman"/>
          <w:b w:val="0"/>
          <w:bCs/>
          <w:color w:val="auto"/>
          <w:sz w:val="32"/>
          <w:szCs w:val="32"/>
          <w:highlight w:val="none"/>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组织领导和协调全市统计工作，确保统计数据真实、准确、完整、及时；完成全市年度、季度数据的测算审核认定工作；完成必要分析，对相关经济决策提供重要依据。组织国情国力普查和涉及工业、农业、社科、教育、节能、卫生等相关行业的专项统计调查监测，收集、整理统计数据，提供咨询建议。保障统计信息化建设、统计执法等全县统计专业技术队伍建设，防范统计违法现象的发生；保障机关正常运转。</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、国民经济核算</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绩效目标：完成全市年度、季度数据的测算审核认定工作；完成必要分析，对相关经济决策提供重要依据。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绩效指标：业务培训覆盖率≥98%；统计信息采用量（篇）≥达到6篇；调查对象覆盖率≥98%；专项统计完成率≥98%。</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、国情国力调查</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绩效目标：按照国家统计局、财政部关于印发《关于统计部门周期性普查和大型调查经费开支问题的暂行规定》，分年度完成普查工作，确保普查顺利完成，提供有关市情市力方面的统计数据。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绩效指标：业务培训覆盖力≥98%；统计信息采用量（篇）≥6篇；调查对象覆盖率≥98%；普查统计完成率≥98%</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、专项统计调查</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绩效目标：组织开展专项统计调查工作，了解基层情况和动态提供统计信息和咨询建议。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绩效指标：业务培训覆盖率≥98%；统计信息采用量（篇）≥6篇；调查对象覆盖率达到≥98%；专项统计完成率≥98%。</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、统计数据采集决策咨询</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绩效目标：保障全市统计信息自动化系统和统计数据库系统运行安全平稳，保证统计数据的顺利报送汇总。</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绩效指标：统计信息化系统建设完成率≥98%；统计信息化系统正常运转率≥98%；统计联网直报数量≥500家</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、综合业务管理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绩效目标：开展统计执法检查和培训工作，防范统计违法现象的发生。</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绩效指标：培训工作完成率≥100%；统计培训次数≥4次。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、综合事务管理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绩效目标：开展纪检监察、计财内审、人事管理、老干部管理、党建、后勤、等工作，保障机关正常运转。</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绩效指标：综合事务保障率≥100%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1、</w:t>
      </w:r>
      <w:r>
        <w:rPr>
          <w:rFonts w:hint="eastAsia" w:ascii="仿宋_GB2312" w:hAnsi="Times New Roman" w:eastAsia="仿宋_GB2312" w:cs="Times New Roman"/>
          <w:sz w:val="32"/>
          <w:szCs w:val="32"/>
        </w:rPr>
        <w:t>扎实做好统计基础工作，统计规范化建设成效显著。</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一是认真做好企业名录库更新与维护工作。二是进一步对“四上”企业统计行为予以规范，以政府名义下发《进一步规范“四上”企业联网直报确保数据质量的通知》，加强业务指导，深入基层，加大检查力度，确保数据质量提升。三是积极开展核查工作。四是强化统计业务流程管理，建立统一规范工作制度，为加强统计业务流程管理，提升数据质量，制定新的《霸州市统计局统计工作规范细则》，细化各科室数据评估制度、质量控制办法等具体环节。</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2、</w:t>
      </w:r>
      <w:r>
        <w:rPr>
          <w:rFonts w:hint="eastAsia" w:ascii="仿宋_GB2312" w:hAnsi="Times New Roman" w:eastAsia="仿宋_GB2312" w:cs="Times New Roman"/>
          <w:sz w:val="32"/>
          <w:szCs w:val="32"/>
        </w:rPr>
        <w:t>加强部门协作，合力推进统计工作。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巩固“政府督导，部门推进，各负其责、齐抓共管”工作机制，强化部门间联系，积极与市发改局、工信局、商务局、交通局、科技局等相关部门和各乡镇区办进行沟通协作，下大力抓好各项统计工作，夯实行业基础数据。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完善制度建设</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本部门制定了《霸州市统计局预算绩效管理办法》、《第七次全国人口普查资金管理办法》、工作保障制度等，为全年预算绩效目标的实现奠定制度基础。</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加强支出管理。通过优化支出结构、编细编实预算、加快履行政府采购手续、尽快启动项目、及时支付资金、确保支出进度达标。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加强绩效运行监控。按要求对第七次全国人口普查经费开展绩效运行监控，发现问题及时采取措施，确保绩效目标如期保质实现。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做好绩效自评。按要求开展上年度部门预算绩效自评和重点评价工作，对评价中发现的问题及时整改，调整优化支出结构， 提高财政资金使用效益。</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规范财务资产管理。 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6"/>
        <w:tblW w:w="13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245"/>
        <w:gridCol w:w="1380"/>
        <w:gridCol w:w="2325"/>
        <w:gridCol w:w="705"/>
        <w:gridCol w:w="4095"/>
        <w:gridCol w:w="975"/>
        <w:gridCol w:w="840"/>
        <w:gridCol w:w="915"/>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一级指标</w:t>
            </w:r>
          </w:p>
        </w:tc>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二级指标</w:t>
            </w:r>
          </w:p>
        </w:tc>
        <w:tc>
          <w:tcPr>
            <w:tcW w:w="2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三级指标</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评（扣）分标准</w:t>
            </w:r>
          </w:p>
        </w:tc>
        <w:tc>
          <w:tcPr>
            <w:tcW w:w="40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绩效指标描述</w:t>
            </w: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指标值</w:t>
            </w:r>
          </w:p>
        </w:tc>
        <w:tc>
          <w:tcPr>
            <w:tcW w:w="13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4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符号</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值</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单位（文字描述）</w:t>
            </w:r>
          </w:p>
        </w:tc>
        <w:tc>
          <w:tcPr>
            <w:tcW w:w="13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部门产出</w:t>
            </w: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查处统计违法案件数量</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查处统计违法案件数量</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次</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9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tabs>
                <w:tab w:val="center" w:pos="675"/>
              </w:tabs>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按月“联网直报企业“进行报表监测</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我市投资、规上工业、限额以上商业、房地产、服务业、劳资和农业等专业，采用联网直报，每月需要对”联网直报企业“进行报表监测</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家</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对统计人员进行业务知识培训</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每年需要对各个专业统计人员进行业务知识培训</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次</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统计法普法宣传</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开展法治宣传教育，统计法律法规宣传</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次</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完成统计月报</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监测股根据各专业数据额完成统计月报</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期</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3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调研分析</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经济运行分析，深入基层单位和企业开展调查研究，撰写调研报告，为市委市政府提供统计分析</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篇</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依法治统，统计执法案件办结率</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严格依法治统，坚决查处统计违法违规问题，统计执法案件办结率100%</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tabs>
                <w:tab w:val="center" w:pos="675"/>
              </w:tabs>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规上专业统计完成率</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完成GDP、投资、规上工业、社会零售品销售额等常规统计调查任务</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规下专业统计完成率</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完成规模以下工业、限额以下商业、服务业、小微企业的调查任务</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普查统计完成率</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完成人口普查、经济普查和农业普查工作任务</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统计信息化系统正常运转率</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反映全市统计数据传输网络建设及统计数据日常传输正常运转情况</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按时完成相关统计报表和GDP核算</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按时完成“一套表”月报、季报、年报任务，按时完成我市GDP核算任务</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文字描述</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每月每季度</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按时完成统计调查任务</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按时完成各项专业统计调查任务，按时完成普查工作任务</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文字描述</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每月每季度</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部门效果</w:t>
            </w: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提供统计信息和咨询建议</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核算全市GDP，及时向市委、市政府及有关部门提供统计信息和咨询建议</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文字描述</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效果较显著</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普查有利于谋划经济社会发展战略</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人口、农业和经济普查促进社会和谐，有利于谋划经济社会发展战略</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文字描述</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效果较显著</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逐步完善数据库、基本单位名录库</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逐步完善数据库、基本单位名录库，提高名录库的使用效率</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文字描述</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得到提高</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数据使用者对统计数据的满意程度</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使用统计数据的数据使用者的满意程度</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w:t>
            </w:r>
          </w:p>
        </w:tc>
        <w:tc>
          <w:tcPr>
            <w:tcW w:w="23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705"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社情民意调查满意的群众占被调查群众的比例</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95.00</w:t>
            </w: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计划标准</w:t>
            </w: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bookmarkEnd w:id="1"/>
    </w:p>
    <w:p>
      <w:pPr>
        <w:ind w:firstLine="560" w:firstLineChars="200"/>
        <w:jc w:val="left"/>
        <w:outlineLvl w:val="3"/>
        <w:rPr>
          <w:rFonts w:ascii="Times New Roman" w:hAnsi="宋体"/>
          <w:b/>
          <w:sz w:val="28"/>
        </w:rPr>
      </w:pPr>
      <w:bookmarkStart w:id="2" w:name="_Toc64881220"/>
      <w:r>
        <w:rPr>
          <w:rFonts w:hint="eastAsia" w:ascii="方正仿宋_GBK" w:eastAsia="方正仿宋_GBK"/>
          <w:b/>
          <w:sz w:val="28"/>
        </w:rPr>
        <w:t>1</w:t>
      </w:r>
      <w:r>
        <w:rPr>
          <w:rFonts w:hint="eastAsia" w:ascii="方正仿宋_GBK" w:eastAsia="方正仿宋_GBK"/>
          <w:b/>
          <w:sz w:val="28"/>
          <w:lang w:eastAsia="zh-CN"/>
        </w:rPr>
        <w:t>、</w:t>
      </w:r>
      <w:r>
        <w:rPr>
          <w:rFonts w:hint="eastAsia" w:ascii="方正仿宋_GBK" w:eastAsia="方正仿宋_GBK"/>
          <w:b/>
          <w:sz w:val="28"/>
        </w:rPr>
        <w:t>第七次全国人口普查经费绩效目标表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1、第七次全国人口普查经费绩效目标表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7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10602"/>
        <w:gridCol w:w="1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18"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35"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337"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1.通过在全市开展人口普查抽查、核查工作，完成普查登记工作，并验收合格，实现取得全市人口数据基本情况的目标，保障取得的全市人口数据情况真实、准确。</w:t>
            </w:r>
          </w:p>
        </w:tc>
      </w:tr>
    </w:tbl>
    <w:p>
      <w:pPr>
        <w:spacing w:line="14" w:lineRule="exact"/>
        <w:jc w:val="center"/>
        <w:rPr>
          <w:rFonts w:ascii="Times New Roman" w:hAnsi="宋体"/>
        </w:rPr>
      </w:pPr>
      <w:r>
        <w:rPr>
          <w:rFonts w:ascii="方正书宋_GBK" w:eastAsia="方正书宋_GBK"/>
        </w:rPr>
        <w:t xml:space="preserve"> </w:t>
      </w:r>
    </w:p>
    <w:tbl>
      <w:tblPr>
        <w:tblStyle w:val="6"/>
        <w:tblW w:w="13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9"/>
        <w:gridCol w:w="2100"/>
        <w:gridCol w:w="3117"/>
        <w:gridCol w:w="4110"/>
        <w:gridCol w:w="1276"/>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6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100"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11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11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8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restart"/>
            <w:vAlign w:val="center"/>
          </w:tcPr>
          <w:p>
            <w:pPr>
              <w:spacing w:line="300" w:lineRule="exact"/>
              <w:jc w:val="center"/>
              <w:rPr>
                <w:rFonts w:ascii="方正书宋_GBK" w:eastAsia="方正书宋_GBK"/>
              </w:rPr>
            </w:pPr>
          </w:p>
        </w:tc>
        <w:tc>
          <w:tcPr>
            <w:tcW w:w="2100"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117" w:type="dxa"/>
            <w:vAlign w:val="center"/>
          </w:tcPr>
          <w:p>
            <w:pPr>
              <w:spacing w:line="300" w:lineRule="exact"/>
              <w:jc w:val="left"/>
              <w:rPr>
                <w:rFonts w:ascii="方正书宋_GBK" w:eastAsia="方正书宋_GBK"/>
              </w:rPr>
            </w:pPr>
            <w:r>
              <w:rPr>
                <w:rFonts w:hint="eastAsia" w:ascii="方正书宋_GBK" w:eastAsia="方正书宋_GBK"/>
              </w:rPr>
              <w:t>人口普查公报资料印刷数量</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印制人口普查公报资料数量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600本</w:t>
            </w:r>
          </w:p>
        </w:tc>
        <w:tc>
          <w:tcPr>
            <w:tcW w:w="1787"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普查培训次数</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普查期间开展业务培训次数</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普查登记验收合格率</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验收合格的普查登记表占已完成普查登记表比率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人普公告时间</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人普公告在2021年11月底前完成</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2021年11月30日前</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质量核查培训时间</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质量核查培训在2021年3月底前完成</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2021年3月31日前</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质量抽查时间</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质量抽查在2021年3月底前完成</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2021年3月31日前</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质量抽查培训时间</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质量抽查培训在2021年2月底前完成</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2021年2月28日前</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质量核查时间</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质量核查在2021年4月底前完成</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2021年4月30日前</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培训成本</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人普抽查、核查培训成本控制在120元内</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≤120元</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普查资料单位成本</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印制人口普查公报资料单价控制在150元内</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≤150元</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促进社会和谐，利于社会发展战略</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人口普查掌握全面最近人口信息，促进社会和谐，有利于谋划经济社会发展战略</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Merge w:val="continue"/>
            <w:vAlign w:val="center"/>
          </w:tcPr>
          <w:p>
            <w:pPr>
              <w:spacing w:line="300" w:lineRule="exact"/>
              <w:jc w:val="center"/>
              <w:rPr>
                <w:rFonts w:hint="eastAsia" w:ascii="方正书宋_GBK" w:eastAsia="方正书宋_GBK"/>
              </w:rPr>
            </w:pP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人普数据对人口政策的持续影响力</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人口普查数据对人口政策的持续影响力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≥10年</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9"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100"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117" w:type="dxa"/>
            <w:vAlign w:val="center"/>
          </w:tcPr>
          <w:p>
            <w:pPr>
              <w:spacing w:line="300" w:lineRule="exact"/>
              <w:jc w:val="left"/>
              <w:rPr>
                <w:rFonts w:hint="eastAsia" w:ascii="方正书宋_GBK" w:eastAsia="方正书宋_GBK"/>
              </w:rPr>
            </w:pPr>
            <w:r>
              <w:rPr>
                <w:rFonts w:hint="eastAsia" w:ascii="方正书宋_GBK" w:eastAsia="方正书宋_GBK"/>
              </w:rPr>
              <w:t>数据使用部门的满意程度</w:t>
            </w:r>
          </w:p>
        </w:tc>
        <w:tc>
          <w:tcPr>
            <w:tcW w:w="4110" w:type="dxa"/>
            <w:vAlign w:val="center"/>
          </w:tcPr>
          <w:p>
            <w:pPr>
              <w:spacing w:line="300" w:lineRule="exact"/>
              <w:jc w:val="left"/>
              <w:rPr>
                <w:rFonts w:ascii="方正书宋_GBK" w:eastAsia="方正书宋_GBK"/>
              </w:rPr>
            </w:pPr>
            <w:r>
              <w:rPr>
                <w:rFonts w:hint="eastAsia" w:ascii="方正书宋_GBK" w:eastAsia="方正书宋_GBK"/>
              </w:rPr>
              <w:t>普查数据使用部门对普查数据的满意程度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87"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黑体" w:hAnsi="黑体" w:eastAsia="黑体" w:cs="Times New Roman"/>
          <w:color w:val="000000"/>
          <w:sz w:val="32"/>
          <w:szCs w:val="32"/>
        </w:rPr>
      </w:pPr>
      <w:bookmarkStart w:id="3" w:name="_Toc471398468"/>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年，我部门</w:t>
      </w:r>
      <w:r>
        <w:rPr>
          <w:rFonts w:hint="eastAsia" w:ascii="仿宋_GB2312" w:hAnsi="Times New Roman" w:eastAsia="仿宋_GB2312" w:cs="Times New Roman"/>
          <w:color w:val="000000"/>
          <w:sz w:val="32"/>
          <w:szCs w:val="32"/>
          <w:lang w:val="en-US" w:eastAsia="zh-CN"/>
        </w:rPr>
        <w:t>未无</w:t>
      </w:r>
      <w:r>
        <w:rPr>
          <w:rFonts w:hint="eastAsia" w:ascii="仿宋_GB2312" w:hAnsi="Times New Roman" w:eastAsia="仿宋_GB2312" w:cs="Times New Roman"/>
          <w:color w:val="000000"/>
          <w:sz w:val="32"/>
          <w:szCs w:val="32"/>
        </w:rPr>
        <w:t>政府采购预算。</w:t>
      </w:r>
      <w:bookmarkEnd w:id="3"/>
    </w:p>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统计局</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382.99</w:t>
      </w:r>
      <w:r>
        <w:rPr>
          <w:rFonts w:hint="eastAsia" w:ascii="仿宋_GB2312" w:hAnsi="黑体" w:eastAsia="仿宋_GB2312" w:cs="Times New Roman"/>
          <w:sz w:val="32"/>
          <w:szCs w:val="32"/>
        </w:rPr>
        <w:t>万元（详见下表）。202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年，我部门无新增固定资产计划。</w:t>
      </w:r>
    </w:p>
    <w:tbl>
      <w:tblPr>
        <w:tblStyle w:val="6"/>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cs="宋体"/>
                <w:b/>
                <w:bCs/>
                <w:kern w:val="0"/>
                <w:sz w:val="32"/>
                <w:szCs w:val="32"/>
                <w:highlight w:val="none"/>
                <w:lang w:val="en-US" w:eastAsia="zh-CN"/>
              </w:rPr>
              <w:t>统计局</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编制部门：11</w:t>
            </w:r>
            <w:r>
              <w:rPr>
                <w:rFonts w:hint="eastAsia" w:ascii="宋体" w:hAnsi="宋体" w:cs="宋体"/>
                <w:kern w:val="0"/>
                <w:sz w:val="22"/>
                <w:lang w:val="en-US" w:eastAsia="zh-CN"/>
              </w:rPr>
              <w:t>2</w:t>
            </w:r>
            <w:r>
              <w:rPr>
                <w:rFonts w:hint="eastAsia" w:ascii="宋体" w:hAnsi="宋体" w:eastAsia="宋体" w:cs="宋体"/>
                <w:kern w:val="0"/>
                <w:sz w:val="22"/>
              </w:rPr>
              <w:t>霸州市</w:t>
            </w:r>
            <w:r>
              <w:rPr>
                <w:rFonts w:hint="eastAsia" w:ascii="宋体" w:hAnsi="宋体" w:cs="宋体"/>
                <w:kern w:val="0"/>
                <w:sz w:val="22"/>
                <w:lang w:val="en-US" w:eastAsia="zh-CN"/>
              </w:rPr>
              <w:t>统计局</w:t>
            </w:r>
          </w:p>
        </w:tc>
        <w:tc>
          <w:tcPr>
            <w:tcW w:w="5103" w:type="dxa"/>
            <w:tcBorders>
              <w:top w:val="nil"/>
              <w:left w:val="nil"/>
              <w:bottom w:val="nil"/>
              <w:right w:val="nil"/>
            </w:tcBorders>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382.99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1667</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363.22</w:t>
            </w: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val="en-US"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0N2MyNzQ5N2MxMDlkZWNhMzdkM2M2OWE1NjU3ZWUifQ=="/>
  </w:docVars>
  <w:rsids>
    <w:rsidRoot w:val="00000000"/>
    <w:rsid w:val="1CCD0DF6"/>
    <w:rsid w:val="5BB110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link w:val="13"/>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qFormat/>
    <w:uiPriority w:val="0"/>
    <w:rPr>
      <w:rFonts w:ascii="Times New Roman" w:hAnsi="Times New Roman" w:eastAsia="宋体" w:cs="Times New Roman"/>
      <w:szCs w:val="24"/>
    </w:rPr>
  </w:style>
  <w:style w:type="paragraph" w:styleId="5">
    <w:name w:val="toc 2"/>
    <w:basedOn w:val="1"/>
    <w:next w:val="1"/>
    <w:uiPriority w:val="0"/>
    <w:pPr>
      <w:ind w:left="420" w:leftChars="200"/>
    </w:pPr>
    <w:rPr>
      <w:rFonts w:ascii="Times New Roman" w:hAnsi="Times New Roman" w:eastAsia="宋体" w:cs="Times New Roman"/>
      <w:szCs w:val="24"/>
    </w:rPr>
  </w:style>
  <w:style w:type="paragraph" w:customStyle="1" w:styleId="8">
    <w:name w:val="批注框文本 Char Char"/>
    <w:basedOn w:val="1"/>
    <w:link w:val="14"/>
    <w:qFormat/>
    <w:uiPriority w:val="0"/>
    <w:rPr>
      <w:sz w:val="18"/>
      <w:szCs w:val="18"/>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
    <w:name w:val="Char"/>
    <w:basedOn w:val="1"/>
    <w:uiPriority w:val="0"/>
    <w:rPr>
      <w:rFonts w:ascii="Tahoma" w:hAnsi="Tahoma" w:eastAsia="宋体" w:cs="Times New Roman"/>
      <w:sz w:val="24"/>
      <w:szCs w:val="24"/>
    </w:rPr>
  </w:style>
  <w:style w:type="character" w:customStyle="1" w:styleId="11">
    <w:name w:val="page number"/>
    <w:basedOn w:val="7"/>
    <w:uiPriority w:val="0"/>
  </w:style>
  <w:style w:type="character" w:customStyle="1" w:styleId="12">
    <w:name w:val="页眉 字符"/>
    <w:basedOn w:val="7"/>
    <w:link w:val="3"/>
    <w:semiHidden/>
    <w:uiPriority w:val="0"/>
    <w:rPr>
      <w:rFonts w:ascii="Times New Roman" w:hAnsi="Times New Roman" w:eastAsia="宋体" w:cs="Times New Roman"/>
      <w:sz w:val="18"/>
      <w:szCs w:val="18"/>
    </w:rPr>
  </w:style>
  <w:style w:type="character" w:customStyle="1" w:styleId="13">
    <w:name w:val="页脚 字符"/>
    <w:basedOn w:val="7"/>
    <w:link w:val="2"/>
    <w:semiHidden/>
    <w:uiPriority w:val="0"/>
    <w:rPr>
      <w:rFonts w:ascii="Times New Roman" w:hAnsi="Times New Roman" w:eastAsia="宋体" w:cs="Times New Roman"/>
      <w:sz w:val="18"/>
      <w:szCs w:val="18"/>
    </w:rPr>
  </w:style>
  <w:style w:type="character" w:customStyle="1" w:styleId="14">
    <w:name w:val="批注框文本 字符"/>
    <w:basedOn w:val="7"/>
    <w:link w:val="8"/>
    <w:semiHidden/>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6353</Words>
  <Characters>6639</Characters>
  <Lines>23</Lines>
  <Paragraphs>6</Paragraphs>
  <TotalTime>2</TotalTime>
  <ScaleCrop>false</ScaleCrop>
  <LinksUpToDate>false</LinksUpToDate>
  <CharactersWithSpaces>6699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2017-10-30T22:45:00Z</dcterms:created>
  <dc:creator>guest</dc:creator>
  <cp:lastModifiedBy>ygx</cp:lastModifiedBy>
  <cp:lastPrinted>2018-03-04T17:51:00Z</cp:lastPrinted>
  <dcterms:modified xsi:type="dcterms:W3CDTF">2022-09-08T00:55:10Z</dcterms:modified>
  <dc:title>zzzz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83D3647692BE4E0DA7EF826A481CBC95</vt:lpwstr>
  </property>
</Properties>
</file>